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 w:lineRule="exact"/>
      </w:pPr>
    </w:p>
    <w:p>
      <w:pPr>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lang w:eastAsia="zh-CN"/>
        </w:rPr>
        <w:t>哈尔滨广厦学院</w:t>
      </w:r>
    </w:p>
    <w:p>
      <w:pPr>
        <w:jc w:val="center"/>
        <w:rPr>
          <w:rFonts w:hint="eastAsia" w:ascii="方正小标宋简体" w:hAnsi="黑体" w:eastAsia="方正小标宋简体"/>
          <w:sz w:val="44"/>
          <w:szCs w:val="44"/>
          <w:lang w:eastAsia="zh-CN"/>
        </w:rPr>
      </w:pPr>
      <w:r>
        <w:rPr>
          <w:rFonts w:hint="eastAsia" w:ascii="方正小标宋简体" w:hAnsi="黑体" w:eastAsia="方正小标宋简体"/>
          <w:sz w:val="44"/>
          <w:szCs w:val="44"/>
        </w:rPr>
        <w:t>新文科研究与改革实践项目</w:t>
      </w:r>
      <w:r>
        <w:rPr>
          <w:rFonts w:hint="eastAsia" w:ascii="方正小标宋简体" w:hAnsi="黑体" w:eastAsia="方正小标宋简体"/>
          <w:sz w:val="44"/>
          <w:szCs w:val="44"/>
          <w:lang w:eastAsia="zh-CN"/>
        </w:rPr>
        <w:t>申报拟推荐名单</w:t>
      </w:r>
      <w:bookmarkStart w:id="0" w:name="_GoBack"/>
      <w:bookmarkEnd w:id="0"/>
    </w:p>
    <w:p>
      <w:pPr>
        <w:jc w:val="left"/>
        <w:rPr>
          <w:rFonts w:ascii="仿宋" w:hAnsi="仿宋" w:eastAsia="仿宋"/>
          <w:szCs w:val="28"/>
        </w:rPr>
      </w:pPr>
    </w:p>
    <w:tbl>
      <w:tblPr>
        <w:tblStyle w:val="3"/>
        <w:tblW w:w="1375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2"/>
        <w:gridCol w:w="2115"/>
        <w:gridCol w:w="4576"/>
        <w:gridCol w:w="2431"/>
        <w:gridCol w:w="2158"/>
        <w:gridCol w:w="15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ind w:right="120"/>
              <w:jc w:val="right"/>
              <w:rPr>
                <w:rFonts w:ascii="仿宋" w:hAnsi="仿宋" w:eastAsia="仿宋" w:cs="Times New Roman"/>
                <w:sz w:val="24"/>
                <w:szCs w:val="24"/>
              </w:rPr>
            </w:pPr>
            <w:r>
              <w:rPr>
                <w:rFonts w:hint="eastAsia" w:ascii="仿宋" w:hAnsi="仿宋" w:eastAsia="仿宋" w:cs="Times New Roman"/>
                <w:sz w:val="24"/>
                <w:szCs w:val="24"/>
              </w:rPr>
              <w:t>序号</w:t>
            </w:r>
          </w:p>
        </w:tc>
        <w:tc>
          <w:tcPr>
            <w:tcW w:w="2115" w:type="dxa"/>
            <w:vAlign w:val="center"/>
          </w:tcPr>
          <w:p>
            <w:pPr>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推荐单位</w:t>
            </w:r>
          </w:p>
        </w:tc>
        <w:tc>
          <w:tcPr>
            <w:tcW w:w="4576"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243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项目组别</w:t>
            </w:r>
          </w:p>
        </w:tc>
        <w:tc>
          <w:tcPr>
            <w:tcW w:w="2158"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对应项目指南编号</w:t>
            </w:r>
          </w:p>
        </w:tc>
        <w:tc>
          <w:tcPr>
            <w:tcW w:w="1530"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项目负责人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1</w:t>
            </w:r>
          </w:p>
        </w:tc>
        <w:tc>
          <w:tcPr>
            <w:tcW w:w="2115" w:type="dxa"/>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通识教育学院</w:t>
            </w:r>
          </w:p>
        </w:tc>
        <w:tc>
          <w:tcPr>
            <w:tcW w:w="4576" w:type="dxa"/>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新时代农村留守儿童音乐教育与心理健康的关联对策研究</w:t>
            </w:r>
          </w:p>
        </w:tc>
        <w:tc>
          <w:tcPr>
            <w:tcW w:w="2431"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eastAsia="zh-CN"/>
              </w:rPr>
              <w:t>一</w:t>
            </w:r>
            <w:r>
              <w:rPr>
                <w:rFonts w:hint="eastAsia" w:ascii="仿宋" w:hAnsi="仿宋" w:eastAsia="仿宋" w:cs="Times New Roman"/>
                <w:sz w:val="24"/>
                <w:szCs w:val="24"/>
              </w:rPr>
              <w:t>、</w:t>
            </w:r>
            <w:r>
              <w:rPr>
                <w:rFonts w:hint="eastAsia" w:ascii="仿宋" w:hAnsi="仿宋" w:eastAsia="仿宋" w:cs="Times New Roman"/>
                <w:sz w:val="24"/>
                <w:szCs w:val="24"/>
                <w:lang w:eastAsia="zh-CN"/>
              </w:rPr>
              <w:t>新文科建设发展理念研究与实践</w:t>
            </w:r>
          </w:p>
        </w:tc>
        <w:tc>
          <w:tcPr>
            <w:tcW w:w="2158" w:type="dxa"/>
            <w:vAlign w:val="center"/>
          </w:tcPr>
          <w:p>
            <w:pPr>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w:t>
            </w:r>
          </w:p>
        </w:tc>
        <w:tc>
          <w:tcPr>
            <w:tcW w:w="1530"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郭晓娜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2</w:t>
            </w:r>
          </w:p>
        </w:tc>
        <w:tc>
          <w:tcPr>
            <w:tcW w:w="2115"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通识教育学院</w:t>
            </w:r>
          </w:p>
        </w:tc>
        <w:tc>
          <w:tcPr>
            <w:tcW w:w="4576"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学前教育专业</w:t>
            </w:r>
            <w:r>
              <w:rPr>
                <w:rFonts w:hint="eastAsia" w:ascii="仿宋" w:hAnsi="仿宋" w:eastAsia="仿宋" w:cs="Times New Roman"/>
                <w:sz w:val="24"/>
                <w:szCs w:val="24"/>
              </w:rPr>
              <w:t>关于用歌唱的方式提高幼儿古诗词背诵技能的研究</w:t>
            </w:r>
          </w:p>
        </w:tc>
        <w:tc>
          <w:tcPr>
            <w:tcW w:w="2431"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四、重点领域分类推进研究与实践</w:t>
            </w:r>
          </w:p>
        </w:tc>
        <w:tc>
          <w:tcPr>
            <w:tcW w:w="2158"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16</w:t>
            </w:r>
          </w:p>
        </w:tc>
        <w:tc>
          <w:tcPr>
            <w:tcW w:w="1530"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rPr>
              <w:t>刘金玉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3</w:t>
            </w:r>
          </w:p>
        </w:tc>
        <w:tc>
          <w:tcPr>
            <w:tcW w:w="2115"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财经学院</w:t>
            </w:r>
          </w:p>
        </w:tc>
        <w:tc>
          <w:tcPr>
            <w:tcW w:w="4576" w:type="dxa"/>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新文科背景下基于课程思政的财务管理专业课程体系建设研究</w:t>
            </w:r>
          </w:p>
        </w:tc>
        <w:tc>
          <w:tcPr>
            <w:tcW w:w="243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二、新文科专业优化研究与实践</w:t>
            </w:r>
          </w:p>
        </w:tc>
        <w:tc>
          <w:tcPr>
            <w:tcW w:w="2158"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7</w:t>
            </w:r>
          </w:p>
        </w:tc>
        <w:tc>
          <w:tcPr>
            <w:tcW w:w="153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黄 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4</w:t>
            </w:r>
          </w:p>
        </w:tc>
        <w:tc>
          <w:tcPr>
            <w:tcW w:w="2115"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财经学院</w:t>
            </w:r>
          </w:p>
        </w:tc>
        <w:tc>
          <w:tcPr>
            <w:tcW w:w="4576"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基于虚拟商业社会环境实训平台商科专业教学方法创新与实践</w:t>
            </w:r>
          </w:p>
        </w:tc>
        <w:tc>
          <w:tcPr>
            <w:tcW w:w="2431"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五</w:t>
            </w:r>
            <w:r>
              <w:rPr>
                <w:rFonts w:hint="eastAsia" w:ascii="仿宋" w:hAnsi="仿宋" w:eastAsia="仿宋" w:cs="Times New Roman"/>
                <w:sz w:val="24"/>
                <w:szCs w:val="24"/>
                <w:lang w:val="en-US" w:eastAsia="zh-CN"/>
              </w:rPr>
              <w:t>、</w:t>
            </w:r>
            <w:r>
              <w:rPr>
                <w:rFonts w:hint="eastAsia" w:ascii="仿宋" w:hAnsi="仿宋" w:eastAsia="仿宋" w:cs="Times New Roman"/>
                <w:sz w:val="24"/>
                <w:szCs w:val="24"/>
                <w:lang w:val="zh-CN" w:eastAsia="zh-CN"/>
              </w:rPr>
              <w:t>新文科师资队伍建设研究与实践</w:t>
            </w:r>
          </w:p>
        </w:tc>
        <w:tc>
          <w:tcPr>
            <w:tcW w:w="2158" w:type="dxa"/>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18</w:t>
            </w:r>
          </w:p>
        </w:tc>
        <w:tc>
          <w:tcPr>
            <w:tcW w:w="153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陈海星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5</w:t>
            </w:r>
          </w:p>
        </w:tc>
        <w:tc>
          <w:tcPr>
            <w:tcW w:w="2115"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财经学院</w:t>
            </w:r>
          </w:p>
        </w:tc>
        <w:tc>
          <w:tcPr>
            <w:tcW w:w="4576"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基于新文科背景“产教融合”模式下以能力培养为导向的审计学专业建设</w:t>
            </w:r>
          </w:p>
        </w:tc>
        <w:tc>
          <w:tcPr>
            <w:tcW w:w="2431" w:type="dxa"/>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二、新文科专业优化研究与实践</w:t>
            </w:r>
          </w:p>
        </w:tc>
        <w:tc>
          <w:tcPr>
            <w:tcW w:w="2158" w:type="dxa"/>
            <w:vAlign w:val="center"/>
          </w:tcPr>
          <w:p>
            <w:pPr>
              <w:jc w:val="center"/>
              <w:rPr>
                <w:rFonts w:hint="default"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4</w:t>
            </w:r>
          </w:p>
        </w:tc>
        <w:tc>
          <w:tcPr>
            <w:tcW w:w="153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eastAsia="zh-CN"/>
              </w:rPr>
              <w:t>尹海艳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942" w:type="dxa"/>
            <w:vAlign w:val="center"/>
          </w:tcPr>
          <w:p>
            <w:pPr>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6</w:t>
            </w:r>
          </w:p>
        </w:tc>
        <w:tc>
          <w:tcPr>
            <w:tcW w:w="2115" w:type="dxa"/>
            <w:vAlign w:val="center"/>
          </w:tcPr>
          <w:p>
            <w:pPr>
              <w:ind w:firstLine="480" w:firstLineChars="200"/>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财经学院</w:t>
            </w:r>
          </w:p>
        </w:tc>
        <w:tc>
          <w:tcPr>
            <w:tcW w:w="4576" w:type="dxa"/>
            <w:vAlign w:val="center"/>
          </w:tcPr>
          <w:p>
            <w:pP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新文科背景下深化应用型人力资源管理专业政校企协同人才培养模式的探索与实践</w:t>
            </w:r>
          </w:p>
        </w:tc>
        <w:tc>
          <w:tcPr>
            <w:tcW w:w="2431" w:type="dxa"/>
            <w:vAlign w:val="center"/>
          </w:tcPr>
          <w:p>
            <w:pPr>
              <w:widowControl w:val="0"/>
              <w:autoSpaceDE w:val="0"/>
              <w:autoSpaceDN w:val="0"/>
              <w:spacing w:before="0" w:after="0" w:line="407" w:lineRule="exact"/>
              <w:ind w:right="0"/>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zh-CN" w:eastAsia="zh-CN"/>
              </w:rPr>
              <w:t>三、新文科人才培养模式改革研究与实践</w:t>
            </w:r>
          </w:p>
        </w:tc>
        <w:tc>
          <w:tcPr>
            <w:tcW w:w="2158" w:type="dxa"/>
            <w:vAlign w:val="center"/>
          </w:tcPr>
          <w:p>
            <w:pPr>
              <w:widowControl w:val="0"/>
              <w:autoSpaceDE w:val="0"/>
              <w:autoSpaceDN w:val="0"/>
              <w:spacing w:before="0" w:after="0" w:line="407" w:lineRule="exact"/>
              <w:ind w:right="0"/>
              <w:jc w:val="center"/>
              <w:rPr>
                <w:rFonts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9</w:t>
            </w:r>
          </w:p>
        </w:tc>
        <w:tc>
          <w:tcPr>
            <w:tcW w:w="1530" w:type="dxa"/>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cs="Times New Roman"/>
                <w:sz w:val="24"/>
                <w:szCs w:val="24"/>
                <w:lang w:val="en-US" w:eastAsia="zh-CN"/>
              </w:rPr>
              <w:t>孙华</w:t>
            </w:r>
          </w:p>
        </w:tc>
      </w:tr>
    </w:tbl>
    <w:p/>
    <w:sectPr>
      <w:pgSz w:w="16838" w:h="11906" w:orient="landscape"/>
      <w:pgMar w:top="1689" w:right="1440" w:bottom="1179"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F76F6"/>
    <w:rsid w:val="066B76A6"/>
    <w:rsid w:val="0F2A70FF"/>
    <w:rsid w:val="10B27F35"/>
    <w:rsid w:val="152F76F6"/>
    <w:rsid w:val="2D53285C"/>
    <w:rsid w:val="3F5F1022"/>
    <w:rsid w:val="51F851E1"/>
    <w:rsid w:val="59FA0518"/>
    <w:rsid w:val="6F8E5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heme="minorHAnsi" w:hAnsiTheme="minorHAnsi" w:eastAsiaTheme="minorEastAsia" w:cstheme="minorBidi"/>
      <w:kern w:val="2"/>
      <w:sz w:val="28"/>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tcBorders>
        <w:top w:val="single" w:color="000000" w:sz="4" w:space="0"/>
        <w:left w:val="single" w:color="000000" w:sz="4" w:space="0"/>
        <w:bottom w:val="single" w:color="000000" w:sz="4" w:space="0"/>
        <w:right w:val="single" w:color="000000" w:sz="4" w:space="0"/>
      </w:tcBorders>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2021-03-10T02:06:00Z</dcterms:created>
  <dc:creator>南东周</dc:creator>
  <cp:lastModifiedBy>瑜</cp:lastModifiedBy>
  <cp:lastPrinted>2021-04-13T03:45:00Z</cp:lastPrinted>
  <dcterms:modified xsi:type="dcterms:W3CDTF">2021-04-13T07:43:59Z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1841B50C4265452A881396BC7EB5FA0D</vt:lpwstr>
  </property>
</Properties>
</file>